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3878D0">
        <w:rPr>
          <w:rFonts w:ascii="Verdana" w:hAnsi="Verdana" w:cs="Arial"/>
          <w:b/>
          <w:sz w:val="18"/>
        </w:rPr>
        <w:t xml:space="preserve"> Monday 15</w:t>
      </w:r>
      <w:r w:rsidR="003878D0" w:rsidRPr="003878D0">
        <w:rPr>
          <w:rFonts w:ascii="Verdana" w:hAnsi="Verdana" w:cs="Arial"/>
          <w:b/>
          <w:sz w:val="18"/>
          <w:vertAlign w:val="superscript"/>
        </w:rPr>
        <w:t>th</w:t>
      </w:r>
      <w:r w:rsidR="003878D0">
        <w:rPr>
          <w:rFonts w:ascii="Verdana" w:hAnsi="Verdana" w:cs="Arial"/>
          <w:b/>
          <w:sz w:val="18"/>
        </w:rPr>
        <w:t xml:space="preserve"> April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0427E">
              <w:rPr>
                <w:rFonts w:ascii="Verdana" w:hAnsi="Verdana" w:cs="Arial"/>
                <w:sz w:val="16"/>
                <w:szCs w:val="16"/>
              </w:rPr>
              <w:t>of meeting 18</w:t>
            </w:r>
            <w:r w:rsidR="003878D0">
              <w:rPr>
                <w:rFonts w:ascii="Verdana" w:hAnsi="Verdana" w:cs="Arial"/>
                <w:sz w:val="16"/>
                <w:szCs w:val="16"/>
                <w:vertAlign w:val="superscript"/>
              </w:rPr>
              <w:t xml:space="preserve">th </w:t>
            </w:r>
            <w:r w:rsidR="003878D0">
              <w:rPr>
                <w:rFonts w:ascii="Verdana" w:hAnsi="Verdana" w:cs="Arial"/>
                <w:sz w:val="16"/>
                <w:szCs w:val="16"/>
              </w:rPr>
              <w:t>March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1012"/>
        </w:trPr>
        <w:tc>
          <w:tcPr>
            <w:tcW w:w="522" w:type="dxa"/>
          </w:tcPr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675CF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C471A6" w:rsidRDefault="003741C7" w:rsidP="005E546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  <w:p w:rsidR="00C9791B" w:rsidRPr="00C9791B" w:rsidRDefault="00C9791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9F71D2" w:rsidRPr="00C02788" w:rsidRDefault="00201890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1B75C8">
        <w:trPr>
          <w:trHeight w:val="381"/>
        </w:trPr>
        <w:tc>
          <w:tcPr>
            <w:tcW w:w="522" w:type="dxa"/>
          </w:tcPr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0553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D019D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A54A9" w:rsidRDefault="00FA54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675CF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04723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DB565A" w:rsidRDefault="00DB565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4F3F" w:rsidRDefault="001F4F3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63E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1768B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44E55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5440" w:rsidRDefault="001F544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14F50" w:rsidRDefault="00714F5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F5440" w:rsidRDefault="001F544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462305" w:rsidRDefault="0046230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4BCC" w:rsidRDefault="00994BCC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3741C7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15527" w:rsidRPr="00364B7C" w:rsidRDefault="00515527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</w:tc>
        <w:tc>
          <w:tcPr>
            <w:tcW w:w="7383" w:type="dxa"/>
          </w:tcPr>
          <w:p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01768B" w:rsidRPr="005D058D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D058D" w:rsidRPr="0001768B" w:rsidRDefault="005D058D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5D058D">
              <w:rPr>
                <w:rFonts w:ascii="Verdana" w:hAnsi="Verdana" w:cs="Arial"/>
                <w:sz w:val="18"/>
                <w:szCs w:val="16"/>
                <w:lang w:val="en-US"/>
              </w:rPr>
              <w:t>“New” areas of hedge cutting – near Pat</w:t>
            </w:r>
            <w:r w:rsidR="00960E73">
              <w:rPr>
                <w:rFonts w:ascii="Verdana" w:hAnsi="Verdana" w:cs="Arial"/>
                <w:sz w:val="18"/>
                <w:szCs w:val="16"/>
                <w:lang w:val="en-US"/>
              </w:rPr>
              <w:t>riot</w:t>
            </w:r>
            <w:r w:rsidRPr="005D058D">
              <w:rPr>
                <w:rFonts w:ascii="Verdana" w:hAnsi="Verdana" w:cs="Arial"/>
                <w:sz w:val="18"/>
                <w:szCs w:val="16"/>
                <w:lang w:val="en-US"/>
              </w:rPr>
              <w:t xml:space="preserve">’s roundabout on New Road, pedestrian walkway to Rec ground </w:t>
            </w:r>
            <w:r w:rsidR="00960E73">
              <w:rPr>
                <w:rFonts w:ascii="Verdana" w:hAnsi="Verdana" w:cs="Arial"/>
                <w:sz w:val="18"/>
                <w:szCs w:val="16"/>
                <w:lang w:val="en-US"/>
              </w:rPr>
              <w:t xml:space="preserve">on Hodson Road </w:t>
            </w:r>
            <w:r w:rsidRPr="005D058D">
              <w:rPr>
                <w:rFonts w:ascii="Verdana" w:hAnsi="Verdana" w:cs="Arial"/>
                <w:sz w:val="18"/>
                <w:szCs w:val="16"/>
                <w:lang w:val="en-US"/>
              </w:rPr>
              <w:t>and single track leading off Hodson Road to “Cuckoo bridge”.  Review quote received from Langton Estate to do the work.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</w:p>
          <w:p w:rsidR="00C9735E" w:rsidRPr="00E675CF" w:rsidRDefault="00C9735E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01768B" w:rsidRDefault="0001768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01768B" w:rsidRDefault="005D058D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Agreement to write letter of thanks to residents of Badbury who maintain the green area. </w:t>
            </w:r>
          </w:p>
          <w:p w:rsidR="005D058D" w:rsidRDefault="005D058D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D058D" w:rsidRPr="0001768B" w:rsidRDefault="005D058D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New noticeboard for Ridgeway View – budgeted £500 in 2019/20 budget, review options and vote on choice. – </w:t>
            </w:r>
            <w:r w:rsidRPr="005D058D">
              <w:rPr>
                <w:rFonts w:ascii="Verdana" w:hAnsi="Verdana" w:cs="Arial"/>
                <w:color w:val="00B050"/>
                <w:sz w:val="18"/>
                <w:szCs w:val="16"/>
                <w:lang w:val="en-US"/>
              </w:rPr>
              <w:t>See additional documentation</w:t>
            </w:r>
          </w:p>
          <w:p w:rsidR="00CE0341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1F4F3F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Rotten wooden post on Strouds Hill needs replacing.  SBC would only provide the </w:t>
            </w:r>
            <w:proofErr w:type="spellStart"/>
            <w:r>
              <w:rPr>
                <w:rFonts w:ascii="Verdana" w:hAnsi="Verdana" w:cs="Arial"/>
                <w:sz w:val="18"/>
                <w:szCs w:val="16"/>
                <w:lang w:val="en-US"/>
              </w:rPr>
              <w:t>labour</w:t>
            </w:r>
            <w:proofErr w:type="spellEnd"/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 last time, and CPC provided the post. Discuss and vote on works to be done.    </w:t>
            </w:r>
          </w:p>
          <w:p w:rsidR="001F4F3F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1F4F3F" w:rsidRPr="0026217D" w:rsidRDefault="001F4F3F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Discuss handyperson installing new posts into the green area that isn’t fenced off. (CPC to provide supplies and </w:t>
            </w:r>
            <w:proofErr w:type="spellStart"/>
            <w:r>
              <w:rPr>
                <w:rFonts w:ascii="Verdana" w:hAnsi="Verdana" w:cs="Arial"/>
                <w:sz w:val="18"/>
                <w:szCs w:val="16"/>
                <w:lang w:val="en-US"/>
              </w:rPr>
              <w:t>labour</w:t>
            </w:r>
            <w:proofErr w:type="spellEnd"/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 costs) SBC would not do this work last time it was requested.</w:t>
            </w:r>
          </w:p>
          <w:p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01890" w:rsidRDefault="00681FF5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201890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:rsidR="00201890" w:rsidRDefault="00201890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04723" w:rsidRPr="00C04723" w:rsidRDefault="00D67DFA" w:rsidP="00C0472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&amp; vote on Tennis Club request for a coded lock on the clubhouse door to allow admittance.</w:t>
            </w:r>
          </w:p>
          <w:p w:rsidR="00201890" w:rsidRPr="00D67DFA" w:rsidRDefault="00201890" w:rsidP="00201890">
            <w:pPr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</w:p>
          <w:p w:rsidR="00626F98" w:rsidRPr="00D67DFA" w:rsidRDefault="00D67DFA" w:rsidP="00626F98">
            <w:pPr>
              <w:pStyle w:val="ListParagraph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 w:rsidRPr="00D67DFA">
              <w:rPr>
                <w:rFonts w:ascii="Verdana" w:hAnsi="Verdana" w:cs="Arial"/>
                <w:i/>
                <w:sz w:val="16"/>
                <w:szCs w:val="16"/>
                <w:lang w:val="en-US"/>
              </w:rPr>
              <w:t>Note – Handyperson will be tasked with creating a trench to alleviate the mud on courts problem</w:t>
            </w:r>
          </w:p>
          <w:p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Cllr Clarke to chair this item</w:t>
            </w:r>
            <w:r w:rsidR="00526D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if needed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6217D" w:rsidRDefault="00994BCC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</w:t>
            </w:r>
            <w:r w:rsidR="00BD51C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HALL,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3863" w:rsidRDefault="00994BCC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994BCC" w:rsidRDefault="00994BCC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29E5" w:rsidRPr="0001768B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01768B" w:rsidRPr="0001768B" w:rsidRDefault="0001768B" w:rsidP="0001768B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1F5440" w:rsidRPr="001F5440" w:rsidRDefault="001F5440" w:rsidP="001F544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latest annual inspection and discuss and vote on whether further works to be approved.  </w:t>
            </w:r>
            <w:r w:rsidRPr="001F5440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(Document already circulated)</w:t>
            </w:r>
          </w:p>
          <w:p w:rsidR="00F23E19" w:rsidRDefault="00F23E19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CE0341" w:rsidRPr="007234C4" w:rsidRDefault="00994BCC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issues</w:t>
            </w:r>
          </w:p>
          <w:p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:rsid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94BCC" w:rsidRPr="00994BCC" w:rsidRDefault="00994BCC" w:rsidP="00994BC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94BCC">
              <w:rPr>
                <w:rFonts w:ascii="Verdana" w:hAnsi="Verdana" w:cs="Arial"/>
                <w:sz w:val="16"/>
                <w:szCs w:val="16"/>
                <w:lang w:val="en-US"/>
              </w:rPr>
              <w:t>Cllrs to bring ideas for improvements to the Parish that the grants sub-committee can investigate.</w:t>
            </w:r>
          </w:p>
          <w:p w:rsidR="00994BCC" w:rsidRDefault="00994BCC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2C7D6D" w:rsidRDefault="002C7D6D" w:rsidP="002C7D6D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Approve letter to landowner about tractor speeds in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Draycot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Foliat</w:t>
            </w:r>
            <w:r w:rsidR="00AC3B5C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</w:t>
            </w:r>
            <w:r w:rsidR="00AC3B5C" w:rsidRPr="00AC3B5C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:rsidR="00AC3B5C" w:rsidRPr="00AC3B5C" w:rsidRDefault="00AC3B5C" w:rsidP="00AC3B5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C3B5C" w:rsidRPr="00CD76DE" w:rsidRDefault="00AC3B5C" w:rsidP="002C7D6D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Approve draft document for public protocol in EGPA meetings – </w:t>
            </w:r>
            <w:r w:rsidRPr="00AC3B5C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917C3F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56402C" w:rsidRDefault="0056402C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62305" w:rsidRPr="003741C7" w:rsidRDefault="00462305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861EC" w:rsidRPr="003741C7" w:rsidRDefault="003741C7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4D55DF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26D26"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:rsidR="003741C7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3878D0">
        <w:rPr>
          <w:rFonts w:ascii="Verdana" w:hAnsi="Verdana" w:cs="Arial"/>
          <w:b/>
          <w:sz w:val="16"/>
          <w:szCs w:val="16"/>
        </w:rPr>
        <w:t>20</w:t>
      </w:r>
      <w:r w:rsidR="003878D0" w:rsidRPr="003878D0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3878D0">
        <w:rPr>
          <w:rFonts w:ascii="Verdana" w:hAnsi="Verdana" w:cs="Arial"/>
          <w:b/>
          <w:sz w:val="16"/>
          <w:szCs w:val="16"/>
        </w:rPr>
        <w:t xml:space="preserve"> May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CC0C41" w:rsidRDefault="00CC0C41" w:rsidP="00F23E19">
      <w:pPr>
        <w:rPr>
          <w:rFonts w:ascii="Verdana" w:hAnsi="Verdana" w:cs="Arial"/>
          <w:sz w:val="20"/>
        </w:rPr>
      </w:pPr>
    </w:p>
    <w:p w:rsidR="00526D26" w:rsidRPr="00F23E19" w:rsidRDefault="00526D26" w:rsidP="00F23E19">
      <w:pPr>
        <w:rPr>
          <w:rFonts w:ascii="Verdana" w:hAnsi="Verdana" w:cs="Arial"/>
          <w:sz w:val="20"/>
        </w:rPr>
      </w:pP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9"/>
  </w:num>
  <w:num w:numId="5">
    <w:abstractNumId w:val="18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7"/>
  </w:num>
  <w:num w:numId="29">
    <w:abstractNumId w:val="29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C7D6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78D0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15527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6FA9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C3B5C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526E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41DB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3404"/>
    <w:rsid w:val="00FA3D8C"/>
    <w:rsid w:val="00FA54A9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16</cp:revision>
  <cp:lastPrinted>2019-04-08T09:39:00Z</cp:lastPrinted>
  <dcterms:created xsi:type="dcterms:W3CDTF">2019-04-03T12:26:00Z</dcterms:created>
  <dcterms:modified xsi:type="dcterms:W3CDTF">2019-04-08T09:37:00Z</dcterms:modified>
</cp:coreProperties>
</file>